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230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905"/>
        <w:gridCol w:w="8460"/>
        <w:gridCol w:w="1905"/>
        <w:gridCol w:w="1935"/>
        <w:gridCol w:w="6165"/>
        <w:tblGridChange w:id="0">
          <w:tblGrid>
            <w:gridCol w:w="1935"/>
            <w:gridCol w:w="1905"/>
            <w:gridCol w:w="8460"/>
            <w:gridCol w:w="1905"/>
            <w:gridCol w:w="1935"/>
            <w:gridCol w:w="6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FUNNEL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OBJECTIVE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ACTIVITY/CONTENT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MIN.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PLATFORM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0000"/>
                <w:sz w:val="24"/>
                <w:szCs w:val="24"/>
                <w:rtl w:val="0"/>
              </w:rPr>
              <w:t xml:space="preserve">COMMENTS/NOTES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rtl w:val="0"/>
              </w:rPr>
              <w:t xml:space="preserve">AWARENESS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Engagement and video views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Advertise company posts to reach and engage target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$50/month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LinkedIn, Twitter, Facebook (100% cold traffic)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Can skip if the budget is tight.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Generate customer testimonials, product/service reviews, how-to videos, behind-the-scenes glimpses, and case studies.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$50/month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Monitor clicks and dwell time. Retarget viewers later in the funnel.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Can skip if the budget is tight.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Link Clicks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Create and promote quizzes, polls, contests, and giveaways.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$100/month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Can skip if the budget is tight or if not applicable.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Traffic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Advertise blog articles, product/service pages, and specific landing pages.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$200/month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Also Google Search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Capture contact info with blog comments section or “learn more” buttons on landing pages.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rtl w:val="0"/>
              </w:rPr>
              <w:t xml:space="preserve">CONSIDERATION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Micro-conversions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(traffic or lead campaigns)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Run lead-generation campaigns with easy-to-consume content (short ebooks or webinars). The objective is to capture contact info to engage later.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$400/month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LinkedIn, Google, Facebook, Twitter Google Ad Extensions, email, phone (50% cold,</w:t>
              <w:br w:type="textWrapping"/>
              <w:t xml:space="preserve">50% warm)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Guides, analyses, reviews, cost calculators, predictions, templates, whitepapers, lists, or discounts.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or on-demand webinars or workshops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May require more commitment from users.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Podcast or channel subscriptions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Low cost and easy to track data.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Chat or Messenger connections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Easy way for prospects to ask questions.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trials, no credit card required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consultations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Try to schedule at least one call with prospects.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Requests for quotes or more information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Detailed product comparisons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Product demos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cc4125"/>
                <w:sz w:val="24"/>
                <w:szCs w:val="24"/>
                <w:rtl w:val="0"/>
              </w:rPr>
              <w:t xml:space="preserve">Conversion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Low-risk front-end offer, like a free trial or 30-day guarantee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$300/month</w:t>
              <w:br w:type="textWrapping"/>
              <w:br w:type="textWrapping"/>
              <w:t xml:space="preserve">(this will be your smallest audience)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Google, LinkedIn, Facebook, Twitter, email, chat, phone (100% of all site visitors)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Smaller product/service package can give customers an idea of your products/services.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Free gift with the first purchase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Temporary access to exclusive content or samples of other products.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Limited-time discount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One-on-one call to answer specific questions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Partial payments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Payment plans can be challenging, so save this option for your most expensive offerings.</w:t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2448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>
        <w:rFonts w:ascii="Roboto" w:cs="Roboto" w:eastAsia="Roboto" w:hAnsi="Roboto"/>
      </w:rPr>
    </w:pPr>
    <w:r w:rsidDel="00000000" w:rsidR="00000000" w:rsidRPr="00000000">
      <w:rPr>
        <w:rFonts w:ascii="Roboto" w:cs="Roboto" w:eastAsia="Roboto" w:hAnsi="Roboto"/>
        <w:b w:val="1"/>
        <w:rtl w:val="0"/>
      </w:rPr>
      <w:t xml:space="preserve">Agency: </w:t>
    </w:r>
    <w:r w:rsidDel="00000000" w:rsidR="00000000" w:rsidRPr="00000000">
      <w:rPr>
        <w:rFonts w:ascii="Roboto" w:cs="Roboto" w:eastAsia="Roboto" w:hAnsi="Roboto"/>
        <w:rtl w:val="0"/>
      </w:rPr>
      <w:t xml:space="preserve">Wiin Social Ltd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.       Web</w:t>
    </w:r>
    <w:r w:rsidDel="00000000" w:rsidR="00000000" w:rsidRPr="00000000">
      <w:rPr>
        <w:rFonts w:ascii="Roboto" w:cs="Roboto" w:eastAsia="Roboto" w:hAnsi="Roboto"/>
        <w:rtl w:val="0"/>
      </w:rPr>
      <w:t xml:space="preserve">: </w:t>
    </w:r>
    <w:hyperlink r:id="rId1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www.wiin.co</w:t>
      </w:r>
    </w:hyperlink>
    <w:r w:rsidDel="00000000" w:rsidR="00000000" w:rsidRPr="00000000">
      <w:rPr>
        <w:rFonts w:ascii="Roboto" w:cs="Roboto" w:eastAsia="Roboto" w:hAnsi="Roboto"/>
        <w:b w:val="1"/>
        <w:rtl w:val="0"/>
      </w:rPr>
      <w:t xml:space="preserve">       </w:t>
    </w:r>
    <w:r w:rsidDel="00000000" w:rsidR="00000000" w:rsidRPr="00000000">
      <w:rPr>
        <w:rFonts w:ascii="Roboto" w:cs="Roboto" w:eastAsia="Roboto" w:hAnsi="Roboto"/>
        <w:b w:val="1"/>
        <w:rtl w:val="0"/>
      </w:rPr>
      <w:t xml:space="preserve">Request a free marketing analysis at</w:t>
    </w:r>
    <w:r w:rsidDel="00000000" w:rsidR="00000000" w:rsidRPr="00000000">
      <w:rPr>
        <w:rFonts w:ascii="Roboto" w:cs="Roboto" w:eastAsia="Roboto" w:hAnsi="Roboto"/>
        <w:rtl w:val="0"/>
      </w:rPr>
      <w:t xml:space="preserve">  </w:t>
    </w:r>
    <w:hyperlink r:id="rId2">
      <w:r w:rsidDel="00000000" w:rsidR="00000000" w:rsidRPr="00000000">
        <w:rPr>
          <w:rFonts w:ascii="Roboto" w:cs="Roboto" w:eastAsia="Roboto" w:hAnsi="Roboto"/>
          <w:color w:val="1155cc"/>
          <w:u w:val="single"/>
          <w:rtl w:val="0"/>
        </w:rPr>
        <w:t xml:space="preserve">www.wiin.co/marketing-analysis</w:t>
      </w:r>
    </w:hyperlink>
    <w:r w:rsidDel="00000000" w:rsidR="00000000" w:rsidRPr="00000000">
      <w:rPr>
        <w:rFonts w:ascii="Roboto" w:cs="Roboto" w:eastAsia="Roboto" w:hAnsi="Roboto"/>
        <w:rtl w:val="0"/>
      </w:rPr>
      <w:t xml:space="preserve">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Roboto" w:cs="Roboto" w:eastAsia="Roboto" w:hAnsi="Roboto"/>
      </w:rPr>
      <w:drawing>
        <wp:inline distB="114300" distT="114300" distL="114300" distR="114300">
          <wp:extent cx="190500" cy="28647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500" cy="2864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/>
      <w:pict>
        <v:shape id="WordPictureWatermark1" style="position:absolute;width:1080.0pt;height:607.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3.png"/>
        </v:shape>
      </w:pict>
    </w:r>
    <w:r w:rsidDel="00000000" w:rsidR="00000000" w:rsidRPr="00000000">
      <w:rPr/>
      <w:drawing>
        <wp:inline distB="114300" distT="114300" distL="114300" distR="114300">
          <wp:extent cx="766763" cy="28327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28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</w:t>
    </w:r>
    <w:r w:rsidDel="00000000" w:rsidR="00000000" w:rsidRPr="00000000">
      <w:rPr>
        <w:rFonts w:ascii="Roboto" w:cs="Roboto" w:eastAsia="Roboto" w:hAnsi="Roboto"/>
        <w:b w:val="1"/>
        <w:sz w:val="54"/>
        <w:szCs w:val="54"/>
        <w:rtl w:val="0"/>
      </w:rPr>
      <w:t xml:space="preserve">2022 Advertising Funnel Template For Small B2B Companies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wiin.co" TargetMode="External"/><Relationship Id="rId2" Type="http://schemas.openxmlformats.org/officeDocument/2006/relationships/hyperlink" Target="http://www.wiin.co/marketing-analysis" TargetMode="External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